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E73603" w:rsidP="00E73603">
      <w:pPr>
        <w:pStyle w:val="ConsPlusNormal"/>
        <w:jc w:val="center"/>
      </w:pPr>
      <w:r>
        <w:t>ИНФОРМАЦИЯ</w:t>
      </w:r>
    </w:p>
    <w:p w:rsidR="00E73603" w:rsidRDefault="00302BDF" w:rsidP="00E73603">
      <w:pPr>
        <w:pStyle w:val="ConsPlusNormal"/>
        <w:jc w:val="center"/>
      </w:pPr>
      <w:r>
        <w:t>о мониторинге</w:t>
      </w:r>
      <w:r w:rsidR="00E73603">
        <w:t xml:space="preserve">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EC6142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EC6142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EC6142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EC6142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302BDF" w:rsidP="00302BD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302BDF" w:rsidP="00302BDF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FA2EC1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FA2EC1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302BDF" w:rsidRDefault="00B64102" w:rsidP="00302BDF">
            <w:pPr>
              <w:pStyle w:val="ConsPlusNormal"/>
              <w:rPr>
                <w:sz w:val="16"/>
                <w:szCs w:val="16"/>
              </w:rPr>
            </w:pPr>
            <w:r w:rsidRPr="00302BDF">
              <w:rPr>
                <w:sz w:val="16"/>
                <w:szCs w:val="16"/>
              </w:rPr>
              <w:t>11</w:t>
            </w:r>
            <w:r w:rsidR="00447B56" w:rsidRPr="00302BDF">
              <w:rPr>
                <w:sz w:val="16"/>
                <w:szCs w:val="16"/>
              </w:rPr>
              <w:t>000</w:t>
            </w:r>
            <w:r w:rsidR="005730F5" w:rsidRPr="00302BDF">
              <w:rPr>
                <w:sz w:val="16"/>
                <w:szCs w:val="16"/>
              </w:rPr>
              <w:t>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447B56">
            <w:pPr>
              <w:pStyle w:val="ConsPlusNormal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FA2EC1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302BDF" w:rsidRDefault="00302BDF" w:rsidP="003279AF">
            <w:pPr>
              <w:pStyle w:val="ConsPlusNormal"/>
              <w:rPr>
                <w:sz w:val="16"/>
                <w:szCs w:val="16"/>
              </w:rPr>
            </w:pPr>
            <w:r w:rsidRPr="00302BDF">
              <w:rPr>
                <w:sz w:val="16"/>
                <w:szCs w:val="16"/>
              </w:rPr>
              <w:t>057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0314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Р6099</w:t>
            </w:r>
            <w:r>
              <w:rPr>
                <w:sz w:val="16"/>
                <w:szCs w:val="16"/>
              </w:rPr>
              <w:t xml:space="preserve"> </w:t>
            </w:r>
            <w:r w:rsidRPr="00302BDF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EB2FA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EB2FA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0"/>
        <w:gridCol w:w="960"/>
        <w:gridCol w:w="904"/>
        <w:gridCol w:w="904"/>
        <w:gridCol w:w="823"/>
        <w:gridCol w:w="438"/>
        <w:gridCol w:w="706"/>
        <w:gridCol w:w="761"/>
        <w:gridCol w:w="706"/>
        <w:gridCol w:w="761"/>
        <w:gridCol w:w="761"/>
        <w:gridCol w:w="793"/>
        <w:gridCol w:w="643"/>
        <w:gridCol w:w="1326"/>
        <w:gridCol w:w="936"/>
        <w:gridCol w:w="1078"/>
        <w:gridCol w:w="787"/>
        <w:gridCol w:w="787"/>
      </w:tblGrid>
      <w:tr w:rsidR="00B6410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B6410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B6410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6410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B64102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B64102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410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B6410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r w:rsidR="00B64102">
              <w:rPr>
                <w:sz w:val="20"/>
                <w:szCs w:val="20"/>
              </w:rPr>
              <w:t>«Тракторостроитель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</w:t>
            </w:r>
            <w:r>
              <w:rPr>
                <w:sz w:val="20"/>
                <w:szCs w:val="20"/>
              </w:rPr>
              <w:lastRenderedPageBreak/>
              <w:t xml:space="preserve">ы </w:t>
            </w:r>
            <w:r w:rsidR="00B64102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B6410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</w:t>
            </w:r>
            <w:r w:rsidR="009706B2">
              <w:rPr>
                <w:sz w:val="20"/>
                <w:szCs w:val="20"/>
              </w:rPr>
              <w:t>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410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B64102">
              <w:rPr>
                <w:sz w:val="20"/>
                <w:szCs w:val="20"/>
              </w:rPr>
              <w:t xml:space="preserve">Профилактика преступлений и иных правонарушений в городе Рубцовске </w:t>
            </w: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3279AF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  <w:r w:rsidR="009706B2">
              <w:rPr>
                <w:sz w:val="20"/>
                <w:szCs w:val="20"/>
              </w:rPr>
              <w:t>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B6410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6410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E1B" w:rsidRDefault="00420E1B">
      <w:r>
        <w:separator/>
      </w:r>
    </w:p>
  </w:endnote>
  <w:endnote w:type="continuationSeparator" w:id="0">
    <w:p w:rsidR="00420E1B" w:rsidRDefault="00420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0CB3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E1B" w:rsidRDefault="00420E1B">
      <w:r>
        <w:separator/>
      </w:r>
    </w:p>
  </w:footnote>
  <w:footnote w:type="continuationSeparator" w:id="0">
    <w:p w:rsidR="00420E1B" w:rsidRDefault="00420E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0CB3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0CB3">
    <w:pPr>
      <w:pStyle w:val="a5"/>
      <w:jc w:val="right"/>
    </w:pPr>
    <w:fldSimple w:instr=" PAGE   \* MERGEFORMAT ">
      <w:r w:rsidR="00302BDF">
        <w:rPr>
          <w:noProof/>
        </w:rPr>
        <w:t>5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6132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2BDF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0CB3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0E1B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3A92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4102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5C63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2FA8"/>
    <w:rsid w:val="00EB305E"/>
    <w:rsid w:val="00EB6705"/>
    <w:rsid w:val="00EB7EE0"/>
    <w:rsid w:val="00EC310B"/>
    <w:rsid w:val="00EC569C"/>
    <w:rsid w:val="00EC6142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2EC1"/>
    <w:rsid w:val="00FA4AE1"/>
    <w:rsid w:val="00FA50F0"/>
    <w:rsid w:val="00FA520A"/>
    <w:rsid w:val="00FA6F61"/>
    <w:rsid w:val="00FA7E9F"/>
    <w:rsid w:val="00FB0315"/>
    <w:rsid w:val="00FB13F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E7695-93AA-41FF-9E57-1DB039B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82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5307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13</cp:revision>
  <cp:lastPrinted>2025-02-07T06:18:00Z</cp:lastPrinted>
  <dcterms:created xsi:type="dcterms:W3CDTF">2025-04-18T04:37:00Z</dcterms:created>
  <dcterms:modified xsi:type="dcterms:W3CDTF">2025-11-06T02:38:00Z</dcterms:modified>
</cp:coreProperties>
</file>